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9C4E7" w14:textId="77777777" w:rsidR="000222F4" w:rsidRDefault="002846EA">
      <w:pPr>
        <w:pStyle w:val="ReportTitle"/>
      </w:pPr>
      <w:r>
        <w:t>NOrF at BACCN 2026</w:t>
      </w:r>
    </w:p>
    <w:p w14:paraId="1C839043" w14:textId="77777777" w:rsidR="000222F4" w:rsidRDefault="002846EA">
      <w:pPr>
        <w:pStyle w:val="Deck"/>
      </w:pPr>
      <w:r>
        <w:t>Executive Board summary  |  Belfast, 12–13 October 2026  |  Presented abstracts, posters and Community of Practice</w:t>
      </w:r>
    </w:p>
    <w:p w14:paraId="7E42129C" w14:textId="748AC34B" w:rsidR="000222F4" w:rsidRDefault="00EA6680">
      <w:r>
        <w:t>O</w:t>
      </w:r>
      <w:r w:rsidR="002846EA">
        <w:t xml:space="preserve">verview of the </w:t>
      </w:r>
      <w:r>
        <w:t xml:space="preserve">State of the </w:t>
      </w:r>
      <w:r w:rsidR="002846EA">
        <w:t xml:space="preserve">nation session, eight NOrF-stream oral abstracts, human-factors masterclass, relevant conference posters and closing Community of Practice (CoP). </w:t>
      </w:r>
    </w:p>
    <w:p w14:paraId="47D0D452" w14:textId="77777777" w:rsidR="000222F4" w:rsidRDefault="002846EA">
      <w:pPr>
        <w:pStyle w:val="SectionHeader"/>
      </w:pPr>
      <w:r>
        <w:t>State of the Nations — England, Wales, Ireland and Japan</w:t>
      </w:r>
    </w:p>
    <w:p w14:paraId="316E2C20" w14:textId="77777777" w:rsidR="000222F4" w:rsidRDefault="002846EA">
      <w:pPr>
        <w:keepLines/>
      </w:pPr>
      <w:r>
        <w:rPr>
          <w:b/>
          <w:color w:val="15355A"/>
        </w:rPr>
        <w:t xml:space="preserve">England · Mark Wilson — </w:t>
      </w:r>
      <w:r>
        <w:t>The transition from rescue response to a hospital-wide deterioration service was described alongside GPICS V3 and the CCOP Framework. NOrF survey respondents reported 74% 24-hour cover but substantial variation in annual activity and wider service remits; the challenge is consistent implementation.</w:t>
      </w:r>
    </w:p>
    <w:p w14:paraId="6A9F9566" w14:textId="77777777" w:rsidR="000222F4" w:rsidRDefault="002846EA">
      <w:pPr>
        <w:keepLines/>
      </w:pPr>
      <w:r>
        <w:rPr>
          <w:b/>
          <w:color w:val="15355A"/>
        </w:rPr>
        <w:t xml:space="preserve">Wales · Vanessa Jones — </w:t>
      </w:r>
      <w:r>
        <w:t>Welsh outreach provision has grown but differs across sites and hours. The Welsh Outreach Forum has supported collaboration, while Call for Concern expands routes to escalation. Recognition of CCO within advanced-practice frameworks and shared national data remain important themes.</w:t>
      </w:r>
    </w:p>
    <w:p w14:paraId="073358BA" w14:textId="77777777" w:rsidR="000222F4" w:rsidRDefault="002846EA">
      <w:pPr>
        <w:keepLines/>
      </w:pPr>
      <w:r>
        <w:rPr>
          <w:b/>
          <w:color w:val="15355A"/>
        </w:rPr>
        <w:t xml:space="preserve">Ireland · Siobhan Tierney-Pyke — </w:t>
      </w:r>
      <w:r>
        <w:t>ANP-led outreach has developed since 2015. All nine Model 4 hospitals were reported to have CCOT, but only two provide 24/7 cover; five of 17 Model 3 hospitals have CCOT. Work on common competencies and a national dataset seeks comparable standards without identical services.</w:t>
      </w:r>
    </w:p>
    <w:p w14:paraId="57DF95E9" w14:textId="77777777" w:rsidR="000222F4" w:rsidRDefault="002846EA">
      <w:pPr>
        <w:keepLines/>
      </w:pPr>
      <w:r>
        <w:rPr>
          <w:b/>
          <w:color w:val="15355A"/>
        </w:rPr>
        <w:t xml:space="preserve">Japan · Dr Ayako Noguchi — </w:t>
      </w:r>
      <w:r>
        <w:t>A 2024 survey reported RRS adoption in 82% of responding hospitals, although 6.7% considered their system established. Examples of automated NEWS and proactive CCOT rounds emphasised interpreting data with ward nurses. Observational study trends in escalation were not statistically significant.</w:t>
      </w:r>
    </w:p>
    <w:p w14:paraId="3B49C03C" w14:textId="77777777" w:rsidR="000222F4" w:rsidRDefault="002846EA">
      <w:pPr>
        <w:pStyle w:val="SectionHeader"/>
      </w:pPr>
      <w:r>
        <w:t>NOrF stream — presented oral abstracts</w:t>
      </w:r>
    </w:p>
    <w:p w14:paraId="1760A400" w14:textId="77777777" w:rsidR="000222F4" w:rsidRDefault="002846EA">
      <w:pPr>
        <w:keepLines/>
      </w:pPr>
      <w:r>
        <w:rPr>
          <w:b/>
          <w:color w:val="15355A"/>
        </w:rPr>
        <w:t xml:space="preserve">C08  From Insight to Impact: data-driven CCO implementation — </w:t>
      </w:r>
      <w:r>
        <w:t>Lisa McHugh and Grainne Nee (Letterkenny University Hospital) described using ward-level unplanned ICU admission data to identify areas of greatest need and phase outreach provision and education. The accepted abstract also reported reductions in 48-hour ICU readmissions and post-ICU length of stay; these are local service findings.</w:t>
      </w:r>
    </w:p>
    <w:p w14:paraId="7180648C" w14:textId="77777777" w:rsidR="000222F4" w:rsidRDefault="002846EA">
      <w:pPr>
        <w:keepLines/>
      </w:pPr>
      <w:r>
        <w:rPr>
          <w:b/>
          <w:color w:val="15355A"/>
        </w:rPr>
        <w:t xml:space="preserve">C09  Five-year evaluation of a Critical Care ANP team — </w:t>
      </w:r>
      <w:r>
        <w:t>Patrick McHugh (St James’s Hospital) reported five-year activity, including advanced clinical skills, ICU transfer and post-ICU review; the 1-hour ICU admission KPI increased from 28% to 62%. Risk-based discharge follow-up criteria distinguished patients requiring ward review from those suitable for remote review.</w:t>
      </w:r>
    </w:p>
    <w:p w14:paraId="659E32D0" w14:textId="77777777" w:rsidR="000222F4" w:rsidRDefault="002846EA">
      <w:pPr>
        <w:keepLines/>
      </w:pPr>
      <w:r>
        <w:rPr>
          <w:b/>
          <w:color w:val="15355A"/>
        </w:rPr>
        <w:t xml:space="preserve">C16  Soft signs as predictors of deterioration — </w:t>
      </w:r>
      <w:r>
        <w:t>Armandina Manso (West Suffolk NHS FT) presented development of a Patient Wellness Question within routine care to capture patient-reported changes and concern. An early ward pilot reported up to 97% completion after EPR integration and changes in referrals and communication; results came from a small local evaluation.</w:t>
      </w:r>
    </w:p>
    <w:p w14:paraId="01103B65" w14:textId="77777777" w:rsidR="000222F4" w:rsidRDefault="002846EA">
      <w:pPr>
        <w:keepLines/>
      </w:pPr>
      <w:r>
        <w:rPr>
          <w:b/>
          <w:color w:val="15355A"/>
        </w:rPr>
        <w:t xml:space="preserve">C17  Nurses’ experiences of escalating deteriorating patients — </w:t>
      </w:r>
      <w:r>
        <w:t>Brigid Dundon (University Hospital Kerry) described qualitative findings on the influence of confidence, emotion, perceived risk and professional relationships on escalation, including the value of senior support and team communication.</w:t>
      </w:r>
    </w:p>
    <w:p w14:paraId="66C33F65" w14:textId="77777777" w:rsidR="000222F4" w:rsidRDefault="002846EA">
      <w:pPr>
        <w:keepLines/>
      </w:pPr>
      <w:r>
        <w:rPr>
          <w:b/>
          <w:color w:val="15355A"/>
        </w:rPr>
        <w:t xml:space="preserve">C18  Automated Sepsis 6 pathway — </w:t>
      </w:r>
      <w:r>
        <w:t>Joel Filipe Cardoso Pereira (Cleveland Clinic London) described an electronic recognition and escalation pathway for patients triggering NEWS2 ≥5, including notification and early management steps. The conference material described implementation and initial experience, not established patient-outcome benefit.</w:t>
      </w:r>
    </w:p>
    <w:p w14:paraId="6B63FE40" w14:textId="77777777" w:rsidR="000222F4" w:rsidRDefault="002846EA">
      <w:pPr>
        <w:keepLines/>
      </w:pPr>
      <w:r>
        <w:rPr>
          <w:b/>
          <w:color w:val="15355A"/>
        </w:rPr>
        <w:t xml:space="preserve">C26  POCUS as a diagnostic adjunct for CCOT — </w:t>
      </w:r>
      <w:r>
        <w:t>Misha Denise Virtudazo (Chelsea and Westminster NHS FT) presented an outreach ultrasound training pilot and examples of focused assessment informing management. Competency development, governance and consistent training were central considerations.</w:t>
      </w:r>
    </w:p>
    <w:p w14:paraId="761DCC84" w14:textId="77777777" w:rsidR="000222F4" w:rsidRDefault="002846EA">
      <w:pPr>
        <w:keepLines/>
      </w:pPr>
      <w:r>
        <w:rPr>
          <w:b/>
          <w:color w:val="15355A"/>
        </w:rPr>
        <w:t xml:space="preserve">C27  Improving early recognition and cardiac arrest response — </w:t>
      </w:r>
      <w:r>
        <w:t>Ella Woodcock-Smith (St George’s Hospital) described ward-focused improvement in recognition, escalation and staff education, with reported changes in the pattern of emergency responses and cardiac arrest activity.</w:t>
      </w:r>
    </w:p>
    <w:p w14:paraId="703BDA1D" w14:textId="77777777" w:rsidR="000222F4" w:rsidRDefault="002846EA">
      <w:pPr>
        <w:keepLines/>
      </w:pPr>
      <w:r>
        <w:rPr>
          <w:b/>
          <w:color w:val="15355A"/>
        </w:rPr>
        <w:t xml:space="preserve">C28  Shaping advanced practice in CCO — </w:t>
      </w:r>
      <w:r>
        <w:t>Mark Wilson (Royal Berkshire NHS FT) reported a multi-site mixed-methods study showing established but inconsistently structured advanced practice roles, including differences in clinical scope, protected time, credentialling and progression.</w:t>
      </w:r>
    </w:p>
    <w:p w14:paraId="432B759C" w14:textId="77777777" w:rsidR="000222F4" w:rsidRDefault="002846EA">
      <w:pPr>
        <w:pStyle w:val="SectionHeader"/>
      </w:pPr>
      <w:r>
        <w:t>Human-factors masterclass — Dr Paul Greig</w:t>
      </w:r>
    </w:p>
    <w:p w14:paraId="754BAAE0" w14:textId="208FAD34" w:rsidR="000222F4" w:rsidRDefault="002846EA">
      <w:proofErr w:type="gramStart"/>
      <w:r>
        <w:t>The Day</w:t>
      </w:r>
      <w:proofErr w:type="gramEnd"/>
      <w:r>
        <w:t xml:space="preserve"> 2 masterclass covered decision-making</w:t>
      </w:r>
      <w:r w:rsidR="00715164">
        <w:t xml:space="preserve"> </w:t>
      </w:r>
      <w:r>
        <w:t xml:space="preserve">and escalation </w:t>
      </w:r>
      <w:r w:rsidR="00DC69DF">
        <w:t>bias</w:t>
      </w:r>
      <w:r>
        <w:t>. The examples illustrated why recognising clinical risk does not always lead to timely action.</w:t>
      </w:r>
    </w:p>
    <w:p w14:paraId="72E73EF8" w14:textId="77777777" w:rsidR="000222F4" w:rsidRDefault="002846EA">
      <w:pPr>
        <w:pStyle w:val="SectionHeader"/>
      </w:pPr>
      <w:r>
        <w:t>CCO-related conference posters</w:t>
      </w:r>
    </w:p>
    <w:p w14:paraId="2C67AA01" w14:textId="77777777" w:rsidR="000222F4" w:rsidRDefault="002846EA">
      <w:pPr>
        <w:keepLines/>
      </w:pPr>
      <w:r>
        <w:rPr>
          <w:b/>
          <w:color w:val="15355A"/>
        </w:rPr>
        <w:t xml:space="preserve">Reducing time to CCOS referral · Altnagelvin Hospital — </w:t>
      </w:r>
      <w:r>
        <w:t>James Taylor-Feeney, Darren McKee and team reported a QI project covering 310 referrals. Median time from NEWS2 ≥5 trigger to CCOS referral fell from 220 to 120 minutes (45%); referral within two hours increased from 29% to 71%. This measured time to referral, not CCOS attendance.</w:t>
      </w:r>
    </w:p>
    <w:p w14:paraId="1FF1B039" w14:textId="77777777" w:rsidR="000222F4" w:rsidRDefault="002846EA">
      <w:pPr>
        <w:keepLines/>
      </w:pPr>
      <w:r>
        <w:rPr>
          <w:b/>
          <w:color w:val="15355A"/>
        </w:rPr>
        <w:lastRenderedPageBreak/>
        <w:t xml:space="preserve">A digitally enabled deterioration and sepsis pathway · North West London — </w:t>
      </w:r>
      <w:r>
        <w:t>Debbie van der Velden, Misha Denise Virtudazo and Michaela Stockdale described a standardised pathway implemented across four acute trusts and nine hospital sites, with shared training, communications and data approaches. Further evaluation was planned.</w:t>
      </w:r>
    </w:p>
    <w:p w14:paraId="1602359B" w14:textId="77777777" w:rsidR="000222F4" w:rsidRDefault="002846EA">
      <w:pPr>
        <w:keepLines/>
      </w:pPr>
      <w:r>
        <w:rPr>
          <w:b/>
          <w:color w:val="15355A"/>
        </w:rPr>
        <w:t xml:space="preserve">A CCOT clinical educator role · University Hospitals Birmingham — </w:t>
      </w:r>
      <w:r>
        <w:t>Clare Harrison and Rachael Kimber described a QI project introducing dedicated education capacity linked to the NOrF Practitioner Framework. The poster reported teaching, supervision and other activity; benefits such as retention and improved engagement were described as predicted outcomes.</w:t>
      </w:r>
    </w:p>
    <w:p w14:paraId="6DCF25F1" w14:textId="77777777" w:rsidR="000222F4" w:rsidRDefault="002846EA">
      <w:pPr>
        <w:keepLines/>
      </w:pPr>
      <w:r>
        <w:rPr>
          <w:b/>
          <w:color w:val="15355A"/>
        </w:rPr>
        <w:t xml:space="preserve">Regional Share and Learn Forum · West Midlands — </w:t>
      </w:r>
      <w:r>
        <w:t>Jude Davies and Kirsty Datson reported a virtual, case-based CCO learning forum: six sessions, 11 case discussions and participation from 66 practitioners. The poster described a model for regional continuing professional development.</w:t>
      </w:r>
    </w:p>
    <w:p w14:paraId="3EEF75F4" w14:textId="77777777" w:rsidR="000222F4" w:rsidRDefault="002846EA">
      <w:pPr>
        <w:keepLines/>
      </w:pPr>
      <w:r>
        <w:rPr>
          <w:b/>
          <w:color w:val="15355A"/>
        </w:rPr>
        <w:t xml:space="preserve">Unplanned ICU admissions: systematic review · RCSI — </w:t>
      </w:r>
      <w:r>
        <w:t>A review of 13 studies (three cluster-randomised and ten non-randomised) found nine studies favouring fewer unplanned ICU admissions with outreach, although randomised studies showed no clear benefit and certainty was low or very low.</w:t>
      </w:r>
    </w:p>
    <w:p w14:paraId="038CDE99" w14:textId="77777777" w:rsidR="000222F4" w:rsidRDefault="002846EA">
      <w:pPr>
        <w:keepLines/>
      </w:pPr>
      <w:r>
        <w:rPr>
          <w:b/>
          <w:color w:val="15355A"/>
        </w:rPr>
        <w:t xml:space="preserve">Renal biomarkers for early AKI detection — </w:t>
      </w:r>
      <w:r>
        <w:t>A review poster by Kimberly N. Corpuz summarised four studies of novel renal biomarkers. Findings suggested potential for earlier AKI risk recognition than conventional markers, while highlighting small and heterogeneous evidence and uncertainty about clinical application.</w:t>
      </w:r>
    </w:p>
    <w:p w14:paraId="4E443599" w14:textId="77777777" w:rsidR="000222F4" w:rsidRDefault="002846EA">
      <w:pPr>
        <w:pStyle w:val="SectionHeader"/>
      </w:pPr>
      <w:r>
        <w:t>Community of Practice — participant feedback (13 October)</w:t>
      </w:r>
    </w:p>
    <w:p w14:paraId="282EAD4A" w14:textId="77777777" w:rsidR="00861E95" w:rsidRDefault="002846EA">
      <w:r>
        <w:t xml:space="preserve">Facilitated by Julia Phillips and Debbie van der Velden, the CoP discussed four questions: a common core for every patient; advanced practice and a widening remit; showing impact; and shared data across nations. </w:t>
      </w:r>
    </w:p>
    <w:p w14:paraId="29C91A41" w14:textId="4E61FDCC" w:rsidR="000222F4" w:rsidRDefault="002846EA">
      <w:r>
        <w:t>The</w:t>
      </w:r>
      <w:r>
        <w:t xml:space="preserve"> </w:t>
      </w:r>
      <w:proofErr w:type="spellStart"/>
      <w:r>
        <w:t>Slido</w:t>
      </w:r>
      <w:proofErr w:type="spellEnd"/>
      <w:r>
        <w:t xml:space="preserve"> </w:t>
      </w:r>
      <w:r w:rsidR="003922AB">
        <w:t>survey at the end of the session</w:t>
      </w:r>
      <w:r>
        <w:t xml:space="preserve"> recorded 38 participants and 34 ranking responses. The scores below are Slido ranking scores, not percentages.</w:t>
      </w:r>
    </w:p>
    <w:tbl>
      <w:tblPr>
        <w:tblStyle w:val="TableGrid"/>
        <w:tblW w:w="0" w:type="auto"/>
        <w:tblLayout w:type="fixed"/>
        <w:tblLook w:val="04A0" w:firstRow="1" w:lastRow="0" w:firstColumn="1" w:lastColumn="0" w:noHBand="0" w:noVBand="1"/>
      </w:tblPr>
      <w:tblGrid>
        <w:gridCol w:w="1020"/>
        <w:gridCol w:w="6917"/>
        <w:gridCol w:w="1814"/>
      </w:tblGrid>
      <w:tr w:rsidR="000222F4" w14:paraId="2CDFDCD8" w14:textId="77777777">
        <w:tc>
          <w:tcPr>
            <w:tcW w:w="1020" w:type="dxa"/>
            <w:shd w:val="clear" w:color="auto" w:fill="173C5A"/>
          </w:tcPr>
          <w:p w14:paraId="23010A21" w14:textId="77777777" w:rsidR="000222F4" w:rsidRDefault="002846EA">
            <w:pPr>
              <w:spacing w:after="0"/>
            </w:pPr>
            <w:r>
              <w:rPr>
                <w:b/>
                <w:color w:val="FFFFFF"/>
                <w:sz w:val="16"/>
              </w:rPr>
              <w:t>Rank</w:t>
            </w:r>
          </w:p>
        </w:tc>
        <w:tc>
          <w:tcPr>
            <w:tcW w:w="6917" w:type="dxa"/>
            <w:shd w:val="clear" w:color="auto" w:fill="173C5A"/>
          </w:tcPr>
          <w:p w14:paraId="79EE57A5" w14:textId="77777777" w:rsidR="000222F4" w:rsidRDefault="002846EA">
            <w:pPr>
              <w:spacing w:after="0"/>
            </w:pPr>
            <w:r>
              <w:rPr>
                <w:b/>
                <w:color w:val="FFFFFF"/>
                <w:sz w:val="16"/>
              </w:rPr>
              <w:t>Theme</w:t>
            </w:r>
          </w:p>
        </w:tc>
        <w:tc>
          <w:tcPr>
            <w:tcW w:w="1814" w:type="dxa"/>
            <w:shd w:val="clear" w:color="auto" w:fill="173C5A"/>
          </w:tcPr>
          <w:p w14:paraId="47A555F8" w14:textId="77777777" w:rsidR="000222F4" w:rsidRDefault="002846EA">
            <w:pPr>
              <w:spacing w:after="0"/>
            </w:pPr>
            <w:r>
              <w:rPr>
                <w:b/>
                <w:color w:val="FFFFFF"/>
                <w:sz w:val="16"/>
              </w:rPr>
              <w:t>Slido score</w:t>
            </w:r>
          </w:p>
        </w:tc>
      </w:tr>
      <w:tr w:rsidR="000222F4" w14:paraId="09BF82F9" w14:textId="77777777">
        <w:tc>
          <w:tcPr>
            <w:tcW w:w="1020" w:type="dxa"/>
            <w:vAlign w:val="center"/>
          </w:tcPr>
          <w:p w14:paraId="23280477" w14:textId="77777777" w:rsidR="000222F4" w:rsidRDefault="002846EA">
            <w:pPr>
              <w:spacing w:after="0" w:line="245" w:lineRule="auto"/>
            </w:pPr>
            <w:r>
              <w:rPr>
                <w:sz w:val="16"/>
              </w:rPr>
              <w:t>1</w:t>
            </w:r>
          </w:p>
        </w:tc>
        <w:tc>
          <w:tcPr>
            <w:tcW w:w="6917" w:type="dxa"/>
            <w:vAlign w:val="center"/>
          </w:tcPr>
          <w:p w14:paraId="51401355" w14:textId="77777777" w:rsidR="000222F4" w:rsidRDefault="002846EA">
            <w:pPr>
              <w:spacing w:after="0" w:line="245" w:lineRule="auto"/>
            </w:pPr>
            <w:r>
              <w:rPr>
                <w:sz w:val="16"/>
              </w:rPr>
              <w:t>Showing impact beyond activity counts</w:t>
            </w:r>
          </w:p>
        </w:tc>
        <w:tc>
          <w:tcPr>
            <w:tcW w:w="1814" w:type="dxa"/>
            <w:vAlign w:val="center"/>
          </w:tcPr>
          <w:p w14:paraId="2232965F" w14:textId="77777777" w:rsidR="000222F4" w:rsidRDefault="002846EA">
            <w:pPr>
              <w:spacing w:after="0" w:line="245" w:lineRule="auto"/>
            </w:pPr>
            <w:r>
              <w:rPr>
                <w:sz w:val="16"/>
              </w:rPr>
              <w:t>3.06</w:t>
            </w:r>
          </w:p>
        </w:tc>
      </w:tr>
      <w:tr w:rsidR="000222F4" w14:paraId="50E97491" w14:textId="77777777">
        <w:tc>
          <w:tcPr>
            <w:tcW w:w="1020" w:type="dxa"/>
            <w:shd w:val="clear" w:color="auto" w:fill="F0F5F7"/>
            <w:vAlign w:val="center"/>
          </w:tcPr>
          <w:p w14:paraId="13103060" w14:textId="77777777" w:rsidR="000222F4" w:rsidRDefault="002846EA">
            <w:pPr>
              <w:spacing w:after="0" w:line="245" w:lineRule="auto"/>
            </w:pPr>
            <w:r>
              <w:rPr>
                <w:sz w:val="16"/>
              </w:rPr>
              <w:t>2</w:t>
            </w:r>
          </w:p>
        </w:tc>
        <w:tc>
          <w:tcPr>
            <w:tcW w:w="6917" w:type="dxa"/>
            <w:shd w:val="clear" w:color="auto" w:fill="F0F5F7"/>
            <w:vAlign w:val="center"/>
          </w:tcPr>
          <w:p w14:paraId="6F1C82E7" w14:textId="77777777" w:rsidR="000222F4" w:rsidRDefault="002846EA">
            <w:pPr>
              <w:spacing w:after="0" w:line="245" w:lineRule="auto"/>
            </w:pPr>
            <w:r>
              <w:rPr>
                <w:sz w:val="16"/>
              </w:rPr>
              <w:t>A common core for every patient</w:t>
            </w:r>
          </w:p>
        </w:tc>
        <w:tc>
          <w:tcPr>
            <w:tcW w:w="1814" w:type="dxa"/>
            <w:shd w:val="clear" w:color="auto" w:fill="F0F5F7"/>
            <w:vAlign w:val="center"/>
          </w:tcPr>
          <w:p w14:paraId="33D6C251" w14:textId="77777777" w:rsidR="000222F4" w:rsidRDefault="002846EA">
            <w:pPr>
              <w:spacing w:after="0" w:line="245" w:lineRule="auto"/>
            </w:pPr>
            <w:r>
              <w:rPr>
                <w:sz w:val="16"/>
              </w:rPr>
              <w:t>2.79</w:t>
            </w:r>
          </w:p>
        </w:tc>
      </w:tr>
      <w:tr w:rsidR="000222F4" w14:paraId="19CCBFEF" w14:textId="77777777">
        <w:tc>
          <w:tcPr>
            <w:tcW w:w="1020" w:type="dxa"/>
            <w:vAlign w:val="center"/>
          </w:tcPr>
          <w:p w14:paraId="2729C208" w14:textId="77777777" w:rsidR="000222F4" w:rsidRDefault="002846EA">
            <w:pPr>
              <w:spacing w:after="0" w:line="245" w:lineRule="auto"/>
            </w:pPr>
            <w:r>
              <w:rPr>
                <w:sz w:val="16"/>
              </w:rPr>
              <w:t>3</w:t>
            </w:r>
          </w:p>
        </w:tc>
        <w:tc>
          <w:tcPr>
            <w:tcW w:w="6917" w:type="dxa"/>
            <w:vAlign w:val="center"/>
          </w:tcPr>
          <w:p w14:paraId="08058134" w14:textId="77777777" w:rsidR="000222F4" w:rsidRDefault="002846EA">
            <w:pPr>
              <w:spacing w:after="0" w:line="245" w:lineRule="auto"/>
            </w:pPr>
            <w:r>
              <w:rPr>
                <w:sz w:val="16"/>
              </w:rPr>
              <w:t>Shared data across nations</w:t>
            </w:r>
          </w:p>
        </w:tc>
        <w:tc>
          <w:tcPr>
            <w:tcW w:w="1814" w:type="dxa"/>
            <w:vAlign w:val="center"/>
          </w:tcPr>
          <w:p w14:paraId="563A68A1" w14:textId="77777777" w:rsidR="000222F4" w:rsidRDefault="002846EA">
            <w:pPr>
              <w:spacing w:after="0" w:line="245" w:lineRule="auto"/>
            </w:pPr>
            <w:r>
              <w:rPr>
                <w:sz w:val="16"/>
              </w:rPr>
              <w:t>1.71</w:t>
            </w:r>
          </w:p>
        </w:tc>
      </w:tr>
      <w:tr w:rsidR="000222F4" w14:paraId="1313D579" w14:textId="77777777">
        <w:tc>
          <w:tcPr>
            <w:tcW w:w="1020" w:type="dxa"/>
            <w:shd w:val="clear" w:color="auto" w:fill="F0F5F7"/>
            <w:vAlign w:val="center"/>
          </w:tcPr>
          <w:p w14:paraId="5EEBE653" w14:textId="77777777" w:rsidR="000222F4" w:rsidRDefault="002846EA">
            <w:pPr>
              <w:spacing w:after="0" w:line="245" w:lineRule="auto"/>
            </w:pPr>
            <w:r>
              <w:rPr>
                <w:sz w:val="16"/>
              </w:rPr>
              <w:t>4</w:t>
            </w:r>
          </w:p>
        </w:tc>
        <w:tc>
          <w:tcPr>
            <w:tcW w:w="6917" w:type="dxa"/>
            <w:shd w:val="clear" w:color="auto" w:fill="F0F5F7"/>
            <w:vAlign w:val="center"/>
          </w:tcPr>
          <w:p w14:paraId="1AEFE854" w14:textId="77777777" w:rsidR="000222F4" w:rsidRDefault="002846EA">
            <w:pPr>
              <w:spacing w:after="0" w:line="245" w:lineRule="auto"/>
            </w:pPr>
            <w:r>
              <w:rPr>
                <w:sz w:val="16"/>
              </w:rPr>
              <w:t>Advanced practice and a widening remit</w:t>
            </w:r>
          </w:p>
        </w:tc>
        <w:tc>
          <w:tcPr>
            <w:tcW w:w="1814" w:type="dxa"/>
            <w:shd w:val="clear" w:color="auto" w:fill="F0F5F7"/>
            <w:vAlign w:val="center"/>
          </w:tcPr>
          <w:p w14:paraId="00B0A0C2" w14:textId="77777777" w:rsidR="000222F4" w:rsidRDefault="002846EA">
            <w:pPr>
              <w:spacing w:after="0" w:line="245" w:lineRule="auto"/>
            </w:pPr>
            <w:r>
              <w:rPr>
                <w:sz w:val="16"/>
              </w:rPr>
              <w:t>1.62</w:t>
            </w:r>
          </w:p>
        </w:tc>
      </w:tr>
    </w:tbl>
    <w:p w14:paraId="4305D74E" w14:textId="77777777" w:rsidR="003922AB" w:rsidRDefault="003922AB"/>
    <w:p w14:paraId="11C24903" w14:textId="2CE7C94E" w:rsidR="000222F4" w:rsidRDefault="002846EA" w:rsidP="009616C6">
      <w:r>
        <w:t xml:space="preserve">Open-text feedback raised Martha’s Rule demand and safe triage; CCO identity, leadership and career pathways; webinars and practical skills education; national outcome data and research support; and the boundaries of out-of-hours, maternity and </w:t>
      </w:r>
      <w:proofErr w:type="spellStart"/>
      <w:r>
        <w:t>paediatric</w:t>
      </w:r>
      <w:proofErr w:type="spellEnd"/>
      <w:r>
        <w:t xml:space="preserve"> outreach.</w:t>
      </w:r>
    </w:p>
    <w:sectPr w:rsidR="000222F4" w:rsidSect="00034616">
      <w:headerReference w:type="default" r:id="rId8"/>
      <w:footerReference w:type="default" r:id="rId9"/>
      <w:pgSz w:w="11906" w:h="16838"/>
      <w:pgMar w:top="964" w:right="1049" w:bottom="896" w:left="1049" w:header="425"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6BFC3" w14:textId="77777777" w:rsidR="002846EA" w:rsidRDefault="002846EA">
      <w:pPr>
        <w:spacing w:after="0" w:line="240" w:lineRule="auto"/>
      </w:pPr>
      <w:r>
        <w:separator/>
      </w:r>
    </w:p>
  </w:endnote>
  <w:endnote w:type="continuationSeparator" w:id="0">
    <w:p w14:paraId="598DB7BA" w14:textId="77777777" w:rsidR="002846EA" w:rsidRDefault="0028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125F8" w14:textId="77281A05" w:rsidR="000222F4" w:rsidRDefault="002846EA">
    <w:pPr>
      <w:pStyle w:val="Footer"/>
      <w:jc w:val="right"/>
    </w:pPr>
    <w:r>
      <w:rPr>
        <w:color w:val="505F6F"/>
        <w:sz w:val="14"/>
      </w:rPr>
      <w:t xml:space="preserve">Executive Board </w:t>
    </w:r>
    <w:proofErr w:type="gramStart"/>
    <w:r>
      <w:rPr>
        <w:color w:val="505F6F"/>
        <w:sz w:val="14"/>
      </w:rPr>
      <w:t>summary  •</w:t>
    </w:r>
    <w:proofErr w:type="gramEnd"/>
    <w:r>
      <w:rPr>
        <w:color w:val="505F6F"/>
        <w:sz w:val="14"/>
      </w:rPr>
      <w:t xml:space="preserve">  19 October </w:t>
    </w:r>
    <w:proofErr w:type="gramStart"/>
    <w:r>
      <w:rPr>
        <w:color w:val="505F6F"/>
        <w:sz w:val="14"/>
      </w:rPr>
      <w:t>2026  |</w:t>
    </w:r>
    <w:proofErr w:type="gramEnd"/>
    <w:r>
      <w:rPr>
        <w:color w:val="505F6F"/>
        <w:sz w:val="14"/>
      </w:rPr>
      <w:t xml:space="preserve">  </w:t>
    </w:r>
    <w:r>
      <w:fldChar w:fldCharType="begin"/>
    </w:r>
    <w:r>
      <w:instrText>PAGE</w:instrText>
    </w:r>
    <w:r>
      <w:fldChar w:fldCharType="separate"/>
    </w:r>
    <w:r w:rsidR="00EA668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58204" w14:textId="77777777" w:rsidR="002846EA" w:rsidRDefault="002846EA">
      <w:pPr>
        <w:spacing w:after="0" w:line="240" w:lineRule="auto"/>
      </w:pPr>
      <w:r>
        <w:separator/>
      </w:r>
    </w:p>
  </w:footnote>
  <w:footnote w:type="continuationSeparator" w:id="0">
    <w:p w14:paraId="19FDB625" w14:textId="77777777" w:rsidR="002846EA" w:rsidRDefault="00284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48921" w14:textId="77777777" w:rsidR="000222F4" w:rsidRDefault="002846EA">
    <w:pPr>
      <w:pStyle w:val="Caption"/>
      <w:jc w:val="right"/>
    </w:pPr>
    <w:r>
      <w:rPr>
        <w:color w:val="007780"/>
        <w:sz w:val="14"/>
      </w:rPr>
      <w:t xml:space="preserve">NATIONAL OUTREACH </w:t>
    </w:r>
    <w:proofErr w:type="gramStart"/>
    <w:r>
      <w:rPr>
        <w:color w:val="007780"/>
        <w:sz w:val="14"/>
      </w:rPr>
      <w:t>FORUM  |</w:t>
    </w:r>
    <w:proofErr w:type="gramEnd"/>
    <w:r>
      <w:rPr>
        <w:color w:val="007780"/>
        <w:sz w:val="14"/>
      </w:rPr>
      <w:t xml:space="preserve">  BACCN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48565611">
    <w:abstractNumId w:val="8"/>
  </w:num>
  <w:num w:numId="2" w16cid:durableId="1923249331">
    <w:abstractNumId w:val="6"/>
  </w:num>
  <w:num w:numId="3" w16cid:durableId="113450801">
    <w:abstractNumId w:val="5"/>
  </w:num>
  <w:num w:numId="4" w16cid:durableId="1161002121">
    <w:abstractNumId w:val="4"/>
  </w:num>
  <w:num w:numId="5" w16cid:durableId="63650789">
    <w:abstractNumId w:val="7"/>
  </w:num>
  <w:num w:numId="6" w16cid:durableId="374278842">
    <w:abstractNumId w:val="3"/>
  </w:num>
  <w:num w:numId="7" w16cid:durableId="1341615663">
    <w:abstractNumId w:val="2"/>
  </w:num>
  <w:num w:numId="8" w16cid:durableId="1007097">
    <w:abstractNumId w:val="1"/>
  </w:num>
  <w:num w:numId="9" w16cid:durableId="831799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2F4"/>
    <w:rsid w:val="00034616"/>
    <w:rsid w:val="0006063C"/>
    <w:rsid w:val="0015074B"/>
    <w:rsid w:val="002846EA"/>
    <w:rsid w:val="0029639D"/>
    <w:rsid w:val="00326F90"/>
    <w:rsid w:val="003922AB"/>
    <w:rsid w:val="003E69AD"/>
    <w:rsid w:val="00715164"/>
    <w:rsid w:val="00861E95"/>
    <w:rsid w:val="009616C6"/>
    <w:rsid w:val="00AA1D8D"/>
    <w:rsid w:val="00AD2996"/>
    <w:rsid w:val="00B47730"/>
    <w:rsid w:val="00CB0664"/>
    <w:rsid w:val="00DC69DF"/>
    <w:rsid w:val="00EA668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17B2617-702E-4DC6-A93B-D74BD55DF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62" w:lineRule="auto"/>
    </w:pPr>
    <w:rPr>
      <w:rFonts w:ascii="Aptos" w:hAnsi="Aptos"/>
      <w:color w:val="252F38"/>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portTitle">
    <w:name w:val="Report Title"/>
    <w:basedOn w:val="Normal"/>
    <w:pPr>
      <w:keepNext/>
    </w:pPr>
    <w:rPr>
      <w:rFonts w:ascii="Aptos Display" w:hAnsi="Aptos Display"/>
      <w:b/>
      <w:color w:val="15355A"/>
      <w:sz w:val="34"/>
    </w:rPr>
  </w:style>
  <w:style w:type="paragraph" w:customStyle="1" w:styleId="Deck">
    <w:name w:val="Deck"/>
    <w:basedOn w:val="Normal"/>
    <w:pPr>
      <w:keepNext/>
      <w:spacing w:after="220"/>
    </w:pPr>
    <w:rPr>
      <w:color w:val="505F6F"/>
      <w:sz w:val="19"/>
    </w:rPr>
  </w:style>
  <w:style w:type="paragraph" w:customStyle="1" w:styleId="SectionHeader">
    <w:name w:val="Section Header"/>
    <w:basedOn w:val="Normal"/>
    <w:pPr>
      <w:keepNext/>
      <w:spacing w:before="160" w:after="80"/>
    </w:pPr>
    <w:rPr>
      <w:rFonts w:ascii="Aptos Display" w:hAnsi="Aptos Display"/>
      <w:b/>
      <w:color w:val="007780"/>
      <w:sz w:val="22"/>
    </w:rPr>
  </w:style>
  <w:style w:type="paragraph" w:customStyle="1" w:styleId="SmallHeader">
    <w:name w:val="Small Header"/>
    <w:basedOn w:val="Normal"/>
    <w:pPr>
      <w:keepNext/>
      <w:spacing w:before="100" w:after="40"/>
    </w:pPr>
    <w:rPr>
      <w:b/>
      <w:color w:val="15355A"/>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1019</Words>
  <Characters>6324</Characters>
  <Application>Microsoft Office Word</Application>
  <DocSecurity>0</DocSecurity>
  <Lines>86</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Mark Wilson</cp:lastModifiedBy>
  <cp:revision>8</cp:revision>
  <dcterms:created xsi:type="dcterms:W3CDTF">2013-12-23T23:15:00Z</dcterms:created>
  <dcterms:modified xsi:type="dcterms:W3CDTF">2026-10-19T11:59:00Z</dcterms:modified>
  <cp:category/>
</cp:coreProperties>
</file>